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ghtGrid-Accent1"/>
        <w:tblW w:w="0" w:type="auto"/>
        <w:tblLook w:val="0620"/>
      </w:tblPr>
      <w:tblGrid>
        <w:gridCol w:w="1668"/>
        <w:gridCol w:w="4110"/>
        <w:gridCol w:w="7358"/>
        <w:gridCol w:w="1038"/>
      </w:tblGrid>
      <w:tr w:rsidR="00687524" w:rsidTr="00687524">
        <w:trPr>
          <w:cnfStyle w:val="100000000000"/>
        </w:trPr>
        <w:tc>
          <w:tcPr>
            <w:tcW w:w="1668" w:type="dxa"/>
          </w:tcPr>
          <w:p w:rsidR="00687524" w:rsidRPr="00687524" w:rsidRDefault="00687524">
            <w:pPr>
              <w:rPr>
                <w:b w:val="0"/>
                <w:sz w:val="20"/>
                <w:szCs w:val="20"/>
              </w:rPr>
            </w:pPr>
            <w:r w:rsidRPr="00687524">
              <w:rPr>
                <w:b w:val="0"/>
                <w:sz w:val="20"/>
                <w:szCs w:val="20"/>
              </w:rPr>
              <w:t>SEPP</w:t>
            </w:r>
          </w:p>
        </w:tc>
        <w:tc>
          <w:tcPr>
            <w:tcW w:w="4110" w:type="dxa"/>
          </w:tcPr>
          <w:p w:rsidR="00687524" w:rsidRPr="00687524" w:rsidRDefault="00687524">
            <w:pPr>
              <w:rPr>
                <w:b w:val="0"/>
                <w:sz w:val="20"/>
                <w:szCs w:val="20"/>
              </w:rPr>
            </w:pPr>
            <w:r w:rsidRPr="00687524">
              <w:rPr>
                <w:b w:val="0"/>
                <w:sz w:val="20"/>
                <w:szCs w:val="20"/>
              </w:rPr>
              <w:t xml:space="preserve">SEPP </w:t>
            </w:r>
            <w:r w:rsidR="0099360C">
              <w:rPr>
                <w:b w:val="0"/>
                <w:sz w:val="20"/>
                <w:szCs w:val="20"/>
              </w:rPr>
              <w:t>Principles</w:t>
            </w:r>
          </w:p>
        </w:tc>
        <w:tc>
          <w:tcPr>
            <w:tcW w:w="7358" w:type="dxa"/>
          </w:tcPr>
          <w:p w:rsidR="00687524" w:rsidRPr="00687524" w:rsidRDefault="00687524">
            <w:pPr>
              <w:rPr>
                <w:b w:val="0"/>
                <w:sz w:val="20"/>
                <w:szCs w:val="20"/>
              </w:rPr>
            </w:pPr>
            <w:r>
              <w:rPr>
                <w:b w:val="0"/>
                <w:sz w:val="20"/>
                <w:szCs w:val="20"/>
              </w:rPr>
              <w:t xml:space="preserve">Planning </w:t>
            </w:r>
            <w:r w:rsidRPr="00687524">
              <w:rPr>
                <w:b w:val="0"/>
                <w:sz w:val="20"/>
                <w:szCs w:val="20"/>
              </w:rPr>
              <w:t>Proposal</w:t>
            </w:r>
          </w:p>
        </w:tc>
        <w:tc>
          <w:tcPr>
            <w:tcW w:w="1038" w:type="dxa"/>
          </w:tcPr>
          <w:p w:rsidR="00687524" w:rsidRPr="00687524" w:rsidRDefault="00687524">
            <w:pPr>
              <w:rPr>
                <w:b w:val="0"/>
                <w:sz w:val="20"/>
                <w:szCs w:val="20"/>
              </w:rPr>
            </w:pPr>
            <w:r w:rsidRPr="00687524">
              <w:rPr>
                <w:b w:val="0"/>
                <w:sz w:val="20"/>
                <w:szCs w:val="20"/>
              </w:rPr>
              <w:t>Complies</w:t>
            </w:r>
          </w:p>
        </w:tc>
      </w:tr>
      <w:tr w:rsidR="00687524" w:rsidTr="00687524">
        <w:tc>
          <w:tcPr>
            <w:tcW w:w="1668" w:type="dxa"/>
          </w:tcPr>
          <w:p w:rsidR="00687524" w:rsidRPr="0099360C" w:rsidRDefault="00E9608F">
            <w:pPr>
              <w:rPr>
                <w:sz w:val="20"/>
                <w:szCs w:val="20"/>
              </w:rPr>
            </w:pPr>
            <w:r>
              <w:rPr>
                <w:sz w:val="20"/>
                <w:szCs w:val="20"/>
              </w:rPr>
              <w:t xml:space="preserve">No 55 -  Remediation of Land </w:t>
            </w:r>
          </w:p>
        </w:tc>
        <w:tc>
          <w:tcPr>
            <w:tcW w:w="4110" w:type="dxa"/>
          </w:tcPr>
          <w:p w:rsidR="00687524" w:rsidRPr="00687524" w:rsidRDefault="00E9608F">
            <w:pPr>
              <w:rPr>
                <w:b/>
                <w:sz w:val="20"/>
                <w:szCs w:val="20"/>
              </w:rPr>
            </w:pPr>
            <w:r>
              <w:rPr>
                <w:sz w:val="20"/>
                <w:szCs w:val="20"/>
              </w:rPr>
              <w:t>This policy aims to promote the remediation of contaminated land to reduce the risk of harm to human health.</w:t>
            </w:r>
          </w:p>
        </w:tc>
        <w:tc>
          <w:tcPr>
            <w:tcW w:w="7358" w:type="dxa"/>
          </w:tcPr>
          <w:p w:rsidR="00E31F28" w:rsidRDefault="00E31F28" w:rsidP="00E31F28">
            <w:pPr>
              <w:rPr>
                <w:sz w:val="20"/>
                <w:szCs w:val="20"/>
              </w:rPr>
            </w:pPr>
            <w:r w:rsidRPr="00E31F28">
              <w:rPr>
                <w:sz w:val="20"/>
                <w:szCs w:val="20"/>
              </w:rPr>
              <w:t>There is no known evidence of contamination of the site due to previous hazardous uses. The site is devoid of any buildings and has historically been used for agricultural/horticultural purposes.</w:t>
            </w:r>
          </w:p>
          <w:p w:rsidR="00E31F28" w:rsidRPr="00E31F28" w:rsidRDefault="00E31F28" w:rsidP="00E31F28">
            <w:pPr>
              <w:rPr>
                <w:sz w:val="20"/>
                <w:szCs w:val="20"/>
              </w:rPr>
            </w:pPr>
          </w:p>
          <w:p w:rsidR="00687524" w:rsidRPr="00371C0C" w:rsidRDefault="00E31F28">
            <w:pPr>
              <w:rPr>
                <w:sz w:val="20"/>
                <w:szCs w:val="20"/>
              </w:rPr>
            </w:pPr>
            <w:r w:rsidRPr="00E31F28">
              <w:rPr>
                <w:sz w:val="20"/>
                <w:szCs w:val="20"/>
              </w:rPr>
              <w:t>It is there</w:t>
            </w:r>
            <w:r>
              <w:rPr>
                <w:sz w:val="20"/>
                <w:szCs w:val="20"/>
              </w:rPr>
              <w:t>fore</w:t>
            </w:r>
            <w:r w:rsidRPr="00E31F28">
              <w:rPr>
                <w:sz w:val="20"/>
                <w:szCs w:val="20"/>
              </w:rPr>
              <w:t xml:space="preserve"> considered that the planning proposal is consistent with the intent and principles of the State Environmental Planning Policy No 55 – Remediation of Land.</w:t>
            </w:r>
          </w:p>
        </w:tc>
        <w:tc>
          <w:tcPr>
            <w:tcW w:w="1038" w:type="dxa"/>
          </w:tcPr>
          <w:p w:rsidR="00687524" w:rsidRPr="00C151AD" w:rsidRDefault="00C151AD">
            <w:pPr>
              <w:rPr>
                <w:sz w:val="20"/>
                <w:szCs w:val="20"/>
              </w:rPr>
            </w:pPr>
            <w:r>
              <w:rPr>
                <w:sz w:val="20"/>
                <w:szCs w:val="20"/>
              </w:rPr>
              <w:t>Yes</w:t>
            </w:r>
          </w:p>
        </w:tc>
      </w:tr>
      <w:tr w:rsidR="00687524" w:rsidTr="00687524">
        <w:tc>
          <w:tcPr>
            <w:tcW w:w="1668" w:type="dxa"/>
          </w:tcPr>
          <w:p w:rsidR="00687524" w:rsidRDefault="00687524"/>
        </w:tc>
        <w:tc>
          <w:tcPr>
            <w:tcW w:w="4110" w:type="dxa"/>
          </w:tcPr>
          <w:p w:rsidR="00687524" w:rsidRDefault="00687524"/>
        </w:tc>
        <w:tc>
          <w:tcPr>
            <w:tcW w:w="7358" w:type="dxa"/>
          </w:tcPr>
          <w:p w:rsidR="00687524" w:rsidRDefault="00687524"/>
        </w:tc>
        <w:tc>
          <w:tcPr>
            <w:tcW w:w="1038" w:type="dxa"/>
          </w:tcPr>
          <w:p w:rsidR="00687524" w:rsidRDefault="00687524"/>
        </w:tc>
      </w:tr>
    </w:tbl>
    <w:p w:rsidR="005062E2" w:rsidRDefault="005062E2"/>
    <w:tbl>
      <w:tblPr>
        <w:tblStyle w:val="LightGrid-Accent6"/>
        <w:tblW w:w="0" w:type="auto"/>
        <w:tblLook w:val="0620"/>
      </w:tblPr>
      <w:tblGrid>
        <w:gridCol w:w="1668"/>
        <w:gridCol w:w="4110"/>
        <w:gridCol w:w="7358"/>
        <w:gridCol w:w="1038"/>
      </w:tblGrid>
      <w:tr w:rsidR="00687524" w:rsidTr="00687524">
        <w:trPr>
          <w:cnfStyle w:val="100000000000"/>
        </w:trPr>
        <w:tc>
          <w:tcPr>
            <w:tcW w:w="1668" w:type="dxa"/>
          </w:tcPr>
          <w:p w:rsidR="00687524" w:rsidRPr="00CB31BC" w:rsidRDefault="00687524">
            <w:pPr>
              <w:rPr>
                <w:b w:val="0"/>
                <w:sz w:val="20"/>
                <w:szCs w:val="20"/>
              </w:rPr>
            </w:pPr>
            <w:r w:rsidRPr="00CB31BC">
              <w:rPr>
                <w:b w:val="0"/>
                <w:sz w:val="20"/>
                <w:szCs w:val="20"/>
              </w:rPr>
              <w:t>S117 Direction</w:t>
            </w:r>
          </w:p>
        </w:tc>
        <w:tc>
          <w:tcPr>
            <w:tcW w:w="4110" w:type="dxa"/>
          </w:tcPr>
          <w:p w:rsidR="00687524" w:rsidRPr="00687524" w:rsidRDefault="00687524">
            <w:pPr>
              <w:rPr>
                <w:b w:val="0"/>
                <w:sz w:val="20"/>
                <w:szCs w:val="20"/>
              </w:rPr>
            </w:pPr>
            <w:r w:rsidRPr="00687524">
              <w:rPr>
                <w:b w:val="0"/>
                <w:sz w:val="20"/>
                <w:szCs w:val="20"/>
              </w:rPr>
              <w:t>Direction Objective</w:t>
            </w:r>
          </w:p>
        </w:tc>
        <w:tc>
          <w:tcPr>
            <w:tcW w:w="7358" w:type="dxa"/>
          </w:tcPr>
          <w:p w:rsidR="00687524" w:rsidRPr="00687524" w:rsidRDefault="00687524">
            <w:pPr>
              <w:rPr>
                <w:b w:val="0"/>
                <w:sz w:val="20"/>
                <w:szCs w:val="20"/>
              </w:rPr>
            </w:pPr>
            <w:r w:rsidRPr="00687524">
              <w:rPr>
                <w:b w:val="0"/>
                <w:sz w:val="20"/>
                <w:szCs w:val="20"/>
              </w:rPr>
              <w:t>Planning Proposal</w:t>
            </w:r>
          </w:p>
        </w:tc>
        <w:tc>
          <w:tcPr>
            <w:tcW w:w="1038" w:type="dxa"/>
          </w:tcPr>
          <w:p w:rsidR="00687524" w:rsidRPr="00687524" w:rsidRDefault="00687524">
            <w:pPr>
              <w:rPr>
                <w:b w:val="0"/>
                <w:sz w:val="20"/>
                <w:szCs w:val="20"/>
              </w:rPr>
            </w:pPr>
            <w:r w:rsidRPr="00687524">
              <w:rPr>
                <w:b w:val="0"/>
                <w:sz w:val="20"/>
                <w:szCs w:val="20"/>
              </w:rPr>
              <w:t>Complies</w:t>
            </w:r>
          </w:p>
        </w:tc>
      </w:tr>
      <w:tr w:rsidR="003C5855" w:rsidTr="00687524">
        <w:tc>
          <w:tcPr>
            <w:tcW w:w="1668" w:type="dxa"/>
          </w:tcPr>
          <w:p w:rsidR="003C5855" w:rsidRPr="00CB31BC" w:rsidRDefault="003C5855">
            <w:pPr>
              <w:rPr>
                <w:sz w:val="20"/>
                <w:szCs w:val="20"/>
              </w:rPr>
            </w:pPr>
            <w:r>
              <w:rPr>
                <w:sz w:val="20"/>
                <w:szCs w:val="20"/>
              </w:rPr>
              <w:t>1.1 Business and Industrial Zones</w:t>
            </w:r>
          </w:p>
        </w:tc>
        <w:tc>
          <w:tcPr>
            <w:tcW w:w="4110" w:type="dxa"/>
          </w:tcPr>
          <w:p w:rsidR="003C5855" w:rsidRDefault="003C5855">
            <w:pPr>
              <w:rPr>
                <w:sz w:val="20"/>
                <w:szCs w:val="20"/>
              </w:rPr>
            </w:pPr>
            <w:r>
              <w:rPr>
                <w:sz w:val="20"/>
                <w:szCs w:val="20"/>
              </w:rPr>
              <w:t>To encourage growth in employment in suitable locations, protect employment land and support the viability of identified strategic centres</w:t>
            </w:r>
          </w:p>
        </w:tc>
        <w:tc>
          <w:tcPr>
            <w:tcW w:w="7358" w:type="dxa"/>
          </w:tcPr>
          <w:p w:rsidR="003C5855" w:rsidRDefault="003C5855" w:rsidP="00BD4E52">
            <w:pPr>
              <w:rPr>
                <w:sz w:val="20"/>
                <w:szCs w:val="20"/>
              </w:rPr>
            </w:pPr>
            <w:r>
              <w:rPr>
                <w:sz w:val="20"/>
                <w:szCs w:val="20"/>
              </w:rPr>
              <w:t xml:space="preserve">While the planning proposal does not seek to rezone of the subject site, it does seek to </w:t>
            </w:r>
            <w:r w:rsidR="007F2699">
              <w:rPr>
                <w:sz w:val="20"/>
                <w:szCs w:val="20"/>
              </w:rPr>
              <w:t>allow a business use in</w:t>
            </w:r>
            <w:r>
              <w:rPr>
                <w:sz w:val="20"/>
                <w:szCs w:val="20"/>
              </w:rPr>
              <w:t xml:space="preserve"> a central location</w:t>
            </w:r>
            <w:r w:rsidR="007F2699">
              <w:rPr>
                <w:sz w:val="20"/>
                <w:szCs w:val="20"/>
              </w:rPr>
              <w:t>, being</w:t>
            </w:r>
            <w:r>
              <w:rPr>
                <w:sz w:val="20"/>
                <w:szCs w:val="20"/>
              </w:rPr>
              <w:t xml:space="preserve"> the sale of locally produced goods and products. It will therefore provide employment during the construction and operational phase in a central location.</w:t>
            </w:r>
          </w:p>
          <w:p w:rsidR="003C5855" w:rsidRDefault="003C5855" w:rsidP="00BD4E52">
            <w:pPr>
              <w:rPr>
                <w:sz w:val="20"/>
                <w:szCs w:val="20"/>
              </w:rPr>
            </w:pPr>
          </w:p>
          <w:p w:rsidR="003C5855" w:rsidRDefault="003C5855" w:rsidP="00BD4E52">
            <w:pPr>
              <w:rPr>
                <w:sz w:val="20"/>
                <w:szCs w:val="20"/>
              </w:rPr>
            </w:pPr>
            <w:r>
              <w:rPr>
                <w:sz w:val="20"/>
                <w:szCs w:val="20"/>
              </w:rPr>
              <w:t>It will not detract from existing employment opportunities in the Buronga/</w:t>
            </w:r>
            <w:proofErr w:type="spellStart"/>
            <w:r>
              <w:rPr>
                <w:sz w:val="20"/>
                <w:szCs w:val="20"/>
              </w:rPr>
              <w:t>Gol</w:t>
            </w:r>
            <w:proofErr w:type="spellEnd"/>
            <w:r>
              <w:rPr>
                <w:sz w:val="20"/>
                <w:szCs w:val="20"/>
              </w:rPr>
              <w:t xml:space="preserve"> </w:t>
            </w:r>
            <w:proofErr w:type="spellStart"/>
            <w:r>
              <w:rPr>
                <w:sz w:val="20"/>
                <w:szCs w:val="20"/>
              </w:rPr>
              <w:t>Gol</w:t>
            </w:r>
            <w:proofErr w:type="spellEnd"/>
            <w:r>
              <w:rPr>
                <w:sz w:val="20"/>
                <w:szCs w:val="20"/>
              </w:rPr>
              <w:t xml:space="preserve"> area, of which, are very limited. The site and development is not subject to identification as a strategic centre.</w:t>
            </w:r>
          </w:p>
        </w:tc>
        <w:tc>
          <w:tcPr>
            <w:tcW w:w="1038" w:type="dxa"/>
          </w:tcPr>
          <w:p w:rsidR="003C5855" w:rsidRDefault="003C5855">
            <w:pPr>
              <w:rPr>
                <w:sz w:val="20"/>
                <w:szCs w:val="20"/>
              </w:rPr>
            </w:pPr>
            <w:r>
              <w:rPr>
                <w:sz w:val="20"/>
                <w:szCs w:val="20"/>
              </w:rPr>
              <w:t>Yes</w:t>
            </w:r>
          </w:p>
        </w:tc>
      </w:tr>
      <w:tr w:rsidR="00687524" w:rsidTr="00687524">
        <w:tc>
          <w:tcPr>
            <w:tcW w:w="1668" w:type="dxa"/>
          </w:tcPr>
          <w:p w:rsidR="00687524" w:rsidRPr="00CB31BC" w:rsidRDefault="00CB31BC">
            <w:pPr>
              <w:rPr>
                <w:sz w:val="20"/>
                <w:szCs w:val="20"/>
              </w:rPr>
            </w:pPr>
            <w:r w:rsidRPr="00CB31BC">
              <w:rPr>
                <w:sz w:val="20"/>
                <w:szCs w:val="20"/>
              </w:rPr>
              <w:t>2.1</w:t>
            </w:r>
            <w:r>
              <w:rPr>
                <w:sz w:val="20"/>
                <w:szCs w:val="20"/>
              </w:rPr>
              <w:t xml:space="preserve"> Environment Protection Zones</w:t>
            </w:r>
          </w:p>
        </w:tc>
        <w:tc>
          <w:tcPr>
            <w:tcW w:w="4110" w:type="dxa"/>
          </w:tcPr>
          <w:p w:rsidR="00687524" w:rsidRPr="00CB31BC" w:rsidRDefault="00CB31BC">
            <w:pPr>
              <w:rPr>
                <w:sz w:val="20"/>
                <w:szCs w:val="20"/>
              </w:rPr>
            </w:pPr>
            <w:r>
              <w:rPr>
                <w:sz w:val="20"/>
                <w:szCs w:val="20"/>
              </w:rPr>
              <w:t>To protect and conserve environmentally sensitive areas.</w:t>
            </w:r>
          </w:p>
        </w:tc>
        <w:tc>
          <w:tcPr>
            <w:tcW w:w="7358" w:type="dxa"/>
          </w:tcPr>
          <w:p w:rsidR="00BD4E52" w:rsidRPr="00BD4E52" w:rsidRDefault="00E63861" w:rsidP="00BD4E52">
            <w:pPr>
              <w:rPr>
                <w:sz w:val="20"/>
                <w:szCs w:val="20"/>
              </w:rPr>
            </w:pPr>
            <w:r>
              <w:rPr>
                <w:sz w:val="20"/>
                <w:szCs w:val="20"/>
              </w:rPr>
              <w:t>T</w:t>
            </w:r>
            <w:r w:rsidR="00BD4E52" w:rsidRPr="00BD4E52">
              <w:rPr>
                <w:sz w:val="20"/>
                <w:szCs w:val="20"/>
              </w:rPr>
              <w:t>he planning proposal is consistent with the directions of the 2.1 Environment Protection Zones because:</w:t>
            </w:r>
          </w:p>
          <w:p w:rsidR="00BD4E52" w:rsidRPr="00BD4E52" w:rsidRDefault="00BD4E52" w:rsidP="00BD4E52">
            <w:pPr>
              <w:rPr>
                <w:sz w:val="20"/>
                <w:szCs w:val="20"/>
              </w:rPr>
            </w:pPr>
          </w:p>
          <w:p w:rsidR="00BD4E52" w:rsidRPr="00BD4E52" w:rsidRDefault="00BD4E52" w:rsidP="00BD4E52">
            <w:pPr>
              <w:pStyle w:val="ListParagraph"/>
              <w:numPr>
                <w:ilvl w:val="0"/>
                <w:numId w:val="1"/>
              </w:numPr>
              <w:rPr>
                <w:sz w:val="20"/>
                <w:szCs w:val="20"/>
              </w:rPr>
            </w:pPr>
            <w:r w:rsidRPr="00BD4E52">
              <w:rPr>
                <w:sz w:val="20"/>
                <w:szCs w:val="20"/>
              </w:rPr>
              <w:t xml:space="preserve">The Floodplain Management Plan – </w:t>
            </w:r>
            <w:proofErr w:type="spellStart"/>
            <w:r w:rsidRPr="00BD4E52">
              <w:rPr>
                <w:sz w:val="20"/>
                <w:szCs w:val="20"/>
              </w:rPr>
              <w:t>Gol</w:t>
            </w:r>
            <w:proofErr w:type="spellEnd"/>
            <w:r w:rsidRPr="00BD4E52">
              <w:rPr>
                <w:sz w:val="20"/>
                <w:szCs w:val="20"/>
              </w:rPr>
              <w:t xml:space="preserve"> </w:t>
            </w:r>
            <w:proofErr w:type="spellStart"/>
            <w:r w:rsidRPr="00BD4E52">
              <w:rPr>
                <w:sz w:val="20"/>
                <w:szCs w:val="20"/>
              </w:rPr>
              <w:t>Gol</w:t>
            </w:r>
            <w:proofErr w:type="spellEnd"/>
            <w:r w:rsidRPr="00BD4E52">
              <w:rPr>
                <w:sz w:val="20"/>
                <w:szCs w:val="20"/>
              </w:rPr>
              <w:t xml:space="preserve"> to Abbotsford Bridge 1995 by </w:t>
            </w:r>
            <w:proofErr w:type="spellStart"/>
            <w:r w:rsidRPr="00BD4E52">
              <w:rPr>
                <w:sz w:val="20"/>
                <w:szCs w:val="20"/>
              </w:rPr>
              <w:t>Kinhill</w:t>
            </w:r>
            <w:proofErr w:type="spellEnd"/>
            <w:r w:rsidRPr="00BD4E52">
              <w:rPr>
                <w:sz w:val="20"/>
                <w:szCs w:val="20"/>
              </w:rPr>
              <w:t xml:space="preserve"> Engineers Pty Ltd did not prohibit the development of the area, </w:t>
            </w:r>
          </w:p>
          <w:p w:rsidR="00BD4E52" w:rsidRPr="00BD4E52" w:rsidRDefault="00BD4E52" w:rsidP="00BD4E52">
            <w:pPr>
              <w:pStyle w:val="ListParagraph"/>
              <w:numPr>
                <w:ilvl w:val="0"/>
                <w:numId w:val="1"/>
              </w:numPr>
              <w:rPr>
                <w:sz w:val="20"/>
                <w:szCs w:val="20"/>
              </w:rPr>
            </w:pPr>
            <w:r w:rsidRPr="00BD4E52">
              <w:rPr>
                <w:sz w:val="20"/>
                <w:szCs w:val="20"/>
              </w:rPr>
              <w:t xml:space="preserve"> The Draft Floodplain Risk Management Study 2011 by Worley Parsons Services Pty Ltd did not prohibit the development of the area and considered that the slight increase in flood levels of the area, caused by the development of the land east of the subject site, was insignificant,</w:t>
            </w:r>
          </w:p>
          <w:p w:rsidR="00BD4E52" w:rsidRPr="00BD4E52" w:rsidRDefault="00BD4E52" w:rsidP="00BD4E52">
            <w:pPr>
              <w:pStyle w:val="ListParagraph"/>
              <w:numPr>
                <w:ilvl w:val="0"/>
                <w:numId w:val="1"/>
              </w:numPr>
              <w:rPr>
                <w:sz w:val="20"/>
                <w:szCs w:val="20"/>
              </w:rPr>
            </w:pPr>
            <w:r w:rsidRPr="00BD4E52">
              <w:rPr>
                <w:sz w:val="20"/>
                <w:szCs w:val="20"/>
              </w:rPr>
              <w:t>Continues to protect and conserve the area due to the planning proposal seeking to allow a single use/development, and</w:t>
            </w:r>
          </w:p>
          <w:p w:rsidR="00687524" w:rsidRPr="00BD4E52" w:rsidRDefault="00BD4E52" w:rsidP="00BD4E52">
            <w:pPr>
              <w:pStyle w:val="ListParagraph"/>
              <w:numPr>
                <w:ilvl w:val="0"/>
                <w:numId w:val="1"/>
              </w:numPr>
              <w:rPr>
                <w:sz w:val="20"/>
                <w:szCs w:val="20"/>
              </w:rPr>
            </w:pPr>
            <w:r w:rsidRPr="00BD4E52">
              <w:rPr>
                <w:sz w:val="20"/>
                <w:szCs w:val="20"/>
              </w:rPr>
              <w:t xml:space="preserve">Does not seek to reduce the environmental standards that currently apply to the land. </w:t>
            </w:r>
          </w:p>
        </w:tc>
        <w:tc>
          <w:tcPr>
            <w:tcW w:w="1038" w:type="dxa"/>
          </w:tcPr>
          <w:p w:rsidR="00687524" w:rsidRPr="00192762" w:rsidRDefault="00192762">
            <w:pPr>
              <w:rPr>
                <w:sz w:val="20"/>
                <w:szCs w:val="20"/>
              </w:rPr>
            </w:pPr>
            <w:r>
              <w:rPr>
                <w:sz w:val="20"/>
                <w:szCs w:val="20"/>
              </w:rPr>
              <w:t>Yes</w:t>
            </w:r>
          </w:p>
        </w:tc>
      </w:tr>
      <w:tr w:rsidR="000B1C8D" w:rsidTr="00687524">
        <w:tc>
          <w:tcPr>
            <w:tcW w:w="1668" w:type="dxa"/>
          </w:tcPr>
          <w:p w:rsidR="000B1C8D" w:rsidRDefault="000B1C8D">
            <w:pPr>
              <w:rPr>
                <w:sz w:val="20"/>
                <w:szCs w:val="20"/>
              </w:rPr>
            </w:pPr>
            <w:r>
              <w:rPr>
                <w:sz w:val="20"/>
                <w:szCs w:val="20"/>
              </w:rPr>
              <w:t>3.4 Integrating Land Use and Transport</w:t>
            </w:r>
          </w:p>
        </w:tc>
        <w:tc>
          <w:tcPr>
            <w:tcW w:w="4110" w:type="dxa"/>
          </w:tcPr>
          <w:p w:rsidR="000B1C8D" w:rsidRDefault="000B1C8D">
            <w:r>
              <w:rPr>
                <w:sz w:val="20"/>
                <w:szCs w:val="20"/>
              </w:rPr>
              <w:t xml:space="preserve">The objective of this direction is to improve access, increase choice of transport available, reduce car dependence, </w:t>
            </w:r>
            <w:proofErr w:type="gramStart"/>
            <w:r>
              <w:rPr>
                <w:sz w:val="20"/>
                <w:szCs w:val="20"/>
              </w:rPr>
              <w:t>support</w:t>
            </w:r>
            <w:proofErr w:type="gramEnd"/>
            <w:r>
              <w:rPr>
                <w:sz w:val="20"/>
                <w:szCs w:val="20"/>
              </w:rPr>
              <w:t xml:space="preserve"> public </w:t>
            </w:r>
            <w:r>
              <w:rPr>
                <w:sz w:val="20"/>
                <w:szCs w:val="20"/>
              </w:rPr>
              <w:lastRenderedPageBreak/>
              <w:t>transport use and efficient movement of freight.</w:t>
            </w:r>
          </w:p>
        </w:tc>
        <w:tc>
          <w:tcPr>
            <w:tcW w:w="7358" w:type="dxa"/>
          </w:tcPr>
          <w:p w:rsidR="0080257A" w:rsidRDefault="0080257A">
            <w:pPr>
              <w:rPr>
                <w:sz w:val="20"/>
                <w:szCs w:val="20"/>
              </w:rPr>
            </w:pPr>
            <w:r>
              <w:rPr>
                <w:sz w:val="20"/>
                <w:szCs w:val="20"/>
              </w:rPr>
              <w:lastRenderedPageBreak/>
              <w:t xml:space="preserve">The planning proposal will be located centrally in </w:t>
            </w:r>
            <w:proofErr w:type="spellStart"/>
            <w:r>
              <w:rPr>
                <w:sz w:val="20"/>
                <w:szCs w:val="20"/>
              </w:rPr>
              <w:t>Gol</w:t>
            </w:r>
            <w:proofErr w:type="spellEnd"/>
            <w:r>
              <w:rPr>
                <w:sz w:val="20"/>
                <w:szCs w:val="20"/>
              </w:rPr>
              <w:t xml:space="preserve"> </w:t>
            </w:r>
            <w:proofErr w:type="spellStart"/>
            <w:r>
              <w:rPr>
                <w:sz w:val="20"/>
                <w:szCs w:val="20"/>
              </w:rPr>
              <w:t>Gol</w:t>
            </w:r>
            <w:proofErr w:type="spellEnd"/>
            <w:r>
              <w:rPr>
                <w:sz w:val="20"/>
                <w:szCs w:val="20"/>
              </w:rPr>
              <w:t xml:space="preserve"> providing pedestrian, cycling and vehicle access to the site, including public transport on Sturt Highway.</w:t>
            </w:r>
          </w:p>
          <w:p w:rsidR="0080257A" w:rsidRDefault="0080257A">
            <w:pPr>
              <w:rPr>
                <w:sz w:val="20"/>
                <w:szCs w:val="20"/>
              </w:rPr>
            </w:pPr>
          </w:p>
          <w:p w:rsidR="000B1C8D" w:rsidRDefault="000B1C8D">
            <w:r>
              <w:rPr>
                <w:sz w:val="20"/>
                <w:szCs w:val="20"/>
              </w:rPr>
              <w:lastRenderedPageBreak/>
              <w:t xml:space="preserve">Works will be required to be undertaken to provide adequate and safe access from the Sturt Highway for vehicles and pedestrians and the design and construction of this access will require consultation with Roads &amp; Maritime Services.  </w:t>
            </w:r>
          </w:p>
        </w:tc>
        <w:tc>
          <w:tcPr>
            <w:tcW w:w="1038" w:type="dxa"/>
          </w:tcPr>
          <w:p w:rsidR="000B1C8D" w:rsidRPr="005D59A0" w:rsidRDefault="005D59A0">
            <w:pPr>
              <w:rPr>
                <w:sz w:val="20"/>
                <w:szCs w:val="20"/>
              </w:rPr>
            </w:pPr>
            <w:r>
              <w:rPr>
                <w:sz w:val="20"/>
                <w:szCs w:val="20"/>
              </w:rPr>
              <w:lastRenderedPageBreak/>
              <w:t>Yes</w:t>
            </w:r>
          </w:p>
        </w:tc>
      </w:tr>
      <w:tr w:rsidR="00687524" w:rsidTr="00687524">
        <w:tc>
          <w:tcPr>
            <w:tcW w:w="1668" w:type="dxa"/>
          </w:tcPr>
          <w:p w:rsidR="00687524" w:rsidRPr="00E63861" w:rsidRDefault="00CB31BC" w:rsidP="00E63861">
            <w:pPr>
              <w:rPr>
                <w:sz w:val="20"/>
                <w:szCs w:val="20"/>
              </w:rPr>
            </w:pPr>
            <w:r w:rsidRPr="00E63861">
              <w:rPr>
                <w:color w:val="262626" w:themeColor="text1" w:themeTint="D9"/>
                <w:sz w:val="20"/>
                <w:szCs w:val="20"/>
              </w:rPr>
              <w:lastRenderedPageBreak/>
              <w:t>4.3 Flood Prone</w:t>
            </w:r>
            <w:r w:rsidRPr="00E63861">
              <w:rPr>
                <w:sz w:val="20"/>
                <w:szCs w:val="20"/>
              </w:rPr>
              <w:t xml:space="preserve"> Land</w:t>
            </w:r>
          </w:p>
        </w:tc>
        <w:tc>
          <w:tcPr>
            <w:tcW w:w="4110" w:type="dxa"/>
          </w:tcPr>
          <w:p w:rsidR="00687524" w:rsidRPr="00E63861" w:rsidRDefault="005D59A0" w:rsidP="00E63861">
            <w:pPr>
              <w:rPr>
                <w:color w:val="262626" w:themeColor="text1" w:themeTint="D9"/>
                <w:sz w:val="20"/>
                <w:szCs w:val="20"/>
              </w:rPr>
            </w:pPr>
            <w:r w:rsidRPr="00E63861">
              <w:rPr>
                <w:color w:val="262626" w:themeColor="text1" w:themeTint="D9"/>
                <w:sz w:val="20"/>
                <w:szCs w:val="20"/>
              </w:rPr>
              <w:t xml:space="preserve">Ensure development is consistent with Flood Prone Land Policy and Floodplain Development Manual </w:t>
            </w:r>
            <w:proofErr w:type="gramStart"/>
            <w:r w:rsidRPr="00E63861">
              <w:rPr>
                <w:color w:val="262626" w:themeColor="text1" w:themeTint="D9"/>
                <w:sz w:val="20"/>
                <w:szCs w:val="20"/>
              </w:rPr>
              <w:t>2005,</w:t>
            </w:r>
            <w:proofErr w:type="gramEnd"/>
            <w:r w:rsidRPr="00E63861">
              <w:rPr>
                <w:color w:val="262626" w:themeColor="text1" w:themeTint="D9"/>
                <w:sz w:val="20"/>
                <w:szCs w:val="20"/>
              </w:rPr>
              <w:t xml:space="preserve"> LEP flood prone provisions are consistent with potential on and off site flood impacts.</w:t>
            </w:r>
          </w:p>
        </w:tc>
        <w:tc>
          <w:tcPr>
            <w:tcW w:w="7358" w:type="dxa"/>
          </w:tcPr>
          <w:p w:rsidR="00050989" w:rsidRDefault="00050989" w:rsidP="00E63861">
            <w:pPr>
              <w:rPr>
                <w:color w:val="262626" w:themeColor="text1" w:themeTint="D9"/>
                <w:sz w:val="20"/>
                <w:szCs w:val="20"/>
              </w:rPr>
            </w:pPr>
            <w:r>
              <w:rPr>
                <w:color w:val="262626" w:themeColor="text1" w:themeTint="D9"/>
                <w:sz w:val="20"/>
                <w:szCs w:val="20"/>
              </w:rPr>
              <w:t>The planning proposal does not seek to allow development in a floodway area, but to permit the development of a permanent structure in a flood affected area in compliance with all legislative requirements.</w:t>
            </w:r>
          </w:p>
          <w:p w:rsidR="00050989" w:rsidRDefault="00050989" w:rsidP="00E63861">
            <w:pPr>
              <w:rPr>
                <w:color w:val="262626" w:themeColor="text1" w:themeTint="D9"/>
                <w:sz w:val="20"/>
                <w:szCs w:val="20"/>
              </w:rPr>
            </w:pPr>
          </w:p>
          <w:p w:rsidR="00E63861" w:rsidRDefault="00E63861" w:rsidP="00E63861">
            <w:pPr>
              <w:rPr>
                <w:color w:val="262626" w:themeColor="text1" w:themeTint="D9"/>
                <w:sz w:val="20"/>
                <w:szCs w:val="20"/>
              </w:rPr>
            </w:pPr>
            <w:r w:rsidRPr="00E63861">
              <w:rPr>
                <w:color w:val="262626" w:themeColor="text1" w:themeTint="D9"/>
                <w:sz w:val="20"/>
                <w:szCs w:val="20"/>
              </w:rPr>
              <w:t>A recommendation of the Draft Floodplain Risk Management Study 2011 by Worley Parsons Services Pty Ltd requires commercial development to have at least 25% of the floor level at an elevation equal to the 100 year recurrence flood level plus a minimum of 750 mm. While the remaining 75% of the floor level at a level equivalent to the 100 year recurrence flood level.</w:t>
            </w:r>
          </w:p>
          <w:p w:rsidR="00050989" w:rsidRPr="00E63861" w:rsidRDefault="00050989" w:rsidP="00E63861">
            <w:pPr>
              <w:rPr>
                <w:color w:val="262626" w:themeColor="text1" w:themeTint="D9"/>
                <w:sz w:val="20"/>
                <w:szCs w:val="20"/>
              </w:rPr>
            </w:pPr>
          </w:p>
          <w:p w:rsidR="00E63861" w:rsidRPr="00E63861" w:rsidRDefault="00E63861" w:rsidP="00E63861">
            <w:pPr>
              <w:rPr>
                <w:color w:val="262626" w:themeColor="text1" w:themeTint="D9"/>
                <w:sz w:val="20"/>
                <w:szCs w:val="20"/>
              </w:rPr>
            </w:pPr>
            <w:r w:rsidRPr="00E63861">
              <w:rPr>
                <w:color w:val="262626" w:themeColor="text1" w:themeTint="D9"/>
                <w:sz w:val="20"/>
                <w:szCs w:val="20"/>
              </w:rPr>
              <w:t>The current flood control provisions within the Wentworth LEP 2011 have been formulated from the results of the Draft Floodplain Risk Management Study 2011 by Worley Parsons Services Pty Ltd. This study was developed consistently in line with the Floodplain Development Manual 2005.</w:t>
            </w:r>
            <w:r w:rsidR="00050989">
              <w:rPr>
                <w:color w:val="262626" w:themeColor="text1" w:themeTint="D9"/>
                <w:sz w:val="20"/>
                <w:szCs w:val="20"/>
              </w:rPr>
              <w:t xml:space="preserve"> In accordance with the Floodplain Development Manual 2005</w:t>
            </w:r>
            <w:r w:rsidRPr="00E63861">
              <w:rPr>
                <w:color w:val="262626" w:themeColor="text1" w:themeTint="D9"/>
                <w:sz w:val="20"/>
                <w:szCs w:val="20"/>
              </w:rPr>
              <w:t xml:space="preserve"> Council has </w:t>
            </w:r>
            <w:r w:rsidR="00050989">
              <w:rPr>
                <w:color w:val="262626" w:themeColor="text1" w:themeTint="D9"/>
                <w:sz w:val="20"/>
                <w:szCs w:val="20"/>
              </w:rPr>
              <w:t xml:space="preserve">recently </w:t>
            </w:r>
            <w:r w:rsidRPr="00E63861">
              <w:rPr>
                <w:color w:val="262626" w:themeColor="text1" w:themeTint="D9"/>
                <w:sz w:val="20"/>
                <w:szCs w:val="20"/>
              </w:rPr>
              <w:t>resolved to complete the project with the re-engagement of Worley Parsons Services Pty Ltd to revie</w:t>
            </w:r>
            <w:r>
              <w:rPr>
                <w:color w:val="262626" w:themeColor="text1" w:themeTint="D9"/>
                <w:sz w:val="20"/>
                <w:szCs w:val="20"/>
              </w:rPr>
              <w:t>w the current data and develop</w:t>
            </w:r>
            <w:r w:rsidRPr="00E63861">
              <w:rPr>
                <w:color w:val="262626" w:themeColor="text1" w:themeTint="D9"/>
                <w:sz w:val="20"/>
                <w:szCs w:val="20"/>
              </w:rPr>
              <w:t xml:space="preserve"> a Floodplain Risk Management Plan.</w:t>
            </w:r>
          </w:p>
          <w:p w:rsidR="00E63861" w:rsidRPr="00E63861" w:rsidRDefault="00E63861" w:rsidP="00E63861">
            <w:pPr>
              <w:rPr>
                <w:color w:val="262626" w:themeColor="text1" w:themeTint="D9"/>
                <w:sz w:val="20"/>
                <w:szCs w:val="20"/>
              </w:rPr>
            </w:pPr>
          </w:p>
          <w:p w:rsidR="00371C0C" w:rsidRPr="00E63861" w:rsidRDefault="00371C0C" w:rsidP="00E63861">
            <w:pPr>
              <w:rPr>
                <w:color w:val="262626" w:themeColor="text1" w:themeTint="D9"/>
                <w:sz w:val="20"/>
                <w:szCs w:val="20"/>
              </w:rPr>
            </w:pPr>
            <w:r w:rsidRPr="00E63861">
              <w:rPr>
                <w:color w:val="262626" w:themeColor="text1" w:themeTint="D9"/>
                <w:sz w:val="20"/>
                <w:szCs w:val="20"/>
              </w:rPr>
              <w:t>Should a flood occur at a height equal to the floor level of the building, the design and layout of the proposed development will allow for the movement of any flood water to flow through the building. The position of the building on the site, being orientated east/west, will not impede the flow of flood water through the area and therefore, will not cause an increase in flood impact on surrounding properties.</w:t>
            </w:r>
          </w:p>
          <w:p w:rsidR="00371C0C" w:rsidRPr="00E63861" w:rsidRDefault="00371C0C" w:rsidP="00E63861">
            <w:pPr>
              <w:rPr>
                <w:color w:val="262626" w:themeColor="text1" w:themeTint="D9"/>
                <w:sz w:val="20"/>
                <w:szCs w:val="20"/>
              </w:rPr>
            </w:pPr>
          </w:p>
          <w:p w:rsidR="00371C0C" w:rsidRPr="00E63861" w:rsidRDefault="00371C0C" w:rsidP="00E63861">
            <w:pPr>
              <w:rPr>
                <w:color w:val="262626" w:themeColor="text1" w:themeTint="D9"/>
                <w:sz w:val="20"/>
                <w:szCs w:val="20"/>
              </w:rPr>
            </w:pPr>
            <w:r w:rsidRPr="00E63861">
              <w:rPr>
                <w:color w:val="262626" w:themeColor="text1" w:themeTint="D9"/>
                <w:sz w:val="20"/>
                <w:szCs w:val="20"/>
              </w:rPr>
              <w:t xml:space="preserve">Consideration of the overdevelopment of the site has been undertaken, therefore, only one additional permitted use has been included as part of the planning proposal. </w:t>
            </w:r>
          </w:p>
          <w:p w:rsidR="00371C0C" w:rsidRPr="00E63861" w:rsidRDefault="00371C0C" w:rsidP="00E63861">
            <w:pPr>
              <w:rPr>
                <w:color w:val="262626" w:themeColor="text1" w:themeTint="D9"/>
                <w:sz w:val="20"/>
                <w:szCs w:val="20"/>
              </w:rPr>
            </w:pPr>
          </w:p>
          <w:p w:rsidR="00371C0C" w:rsidRPr="00E63861" w:rsidRDefault="00371C0C" w:rsidP="00E63861">
            <w:pPr>
              <w:rPr>
                <w:color w:val="262626" w:themeColor="text1" w:themeTint="D9"/>
                <w:sz w:val="20"/>
                <w:szCs w:val="20"/>
              </w:rPr>
            </w:pPr>
            <w:r w:rsidRPr="00E63861">
              <w:rPr>
                <w:color w:val="262626" w:themeColor="text1" w:themeTint="D9"/>
                <w:sz w:val="20"/>
                <w:szCs w:val="20"/>
              </w:rPr>
              <w:t>The proposal will require works to be undertaken to provide access to Sturt Highway and a service road to be constructed. The cost of work and provision of infrastructure will be borne by the developer.</w:t>
            </w:r>
          </w:p>
          <w:p w:rsidR="00371C0C" w:rsidRPr="00E63861" w:rsidRDefault="00371C0C" w:rsidP="00E63861">
            <w:pPr>
              <w:rPr>
                <w:color w:val="262626" w:themeColor="text1" w:themeTint="D9"/>
                <w:sz w:val="20"/>
                <w:szCs w:val="20"/>
              </w:rPr>
            </w:pPr>
          </w:p>
          <w:p w:rsidR="00687524" w:rsidRPr="00E63861" w:rsidRDefault="00371C0C" w:rsidP="00E63861">
            <w:pPr>
              <w:rPr>
                <w:color w:val="262626" w:themeColor="text1" w:themeTint="D9"/>
                <w:sz w:val="20"/>
                <w:szCs w:val="20"/>
              </w:rPr>
            </w:pPr>
            <w:r w:rsidRPr="00E63861">
              <w:rPr>
                <w:color w:val="262626" w:themeColor="text1" w:themeTint="D9"/>
                <w:sz w:val="20"/>
                <w:szCs w:val="20"/>
              </w:rPr>
              <w:t>Development consent will be required prior to the commencement of any works or construction.</w:t>
            </w:r>
          </w:p>
        </w:tc>
        <w:tc>
          <w:tcPr>
            <w:tcW w:w="1038" w:type="dxa"/>
          </w:tcPr>
          <w:p w:rsidR="00687524" w:rsidRPr="00371C0C" w:rsidRDefault="00371C0C">
            <w:pPr>
              <w:rPr>
                <w:sz w:val="20"/>
                <w:szCs w:val="20"/>
              </w:rPr>
            </w:pPr>
            <w:r>
              <w:rPr>
                <w:sz w:val="20"/>
                <w:szCs w:val="20"/>
              </w:rPr>
              <w:t>Yes</w:t>
            </w:r>
          </w:p>
        </w:tc>
      </w:tr>
      <w:tr w:rsidR="00687524" w:rsidTr="00687524">
        <w:tc>
          <w:tcPr>
            <w:tcW w:w="1668" w:type="dxa"/>
          </w:tcPr>
          <w:p w:rsidR="00687524" w:rsidRPr="00CB31BC" w:rsidRDefault="00CB31BC">
            <w:pPr>
              <w:rPr>
                <w:sz w:val="20"/>
                <w:szCs w:val="20"/>
              </w:rPr>
            </w:pPr>
            <w:r w:rsidRPr="00CB31BC">
              <w:rPr>
                <w:sz w:val="20"/>
                <w:szCs w:val="20"/>
              </w:rPr>
              <w:lastRenderedPageBreak/>
              <w:t>6.3 Site Specific Provisions</w:t>
            </w:r>
          </w:p>
        </w:tc>
        <w:tc>
          <w:tcPr>
            <w:tcW w:w="4110" w:type="dxa"/>
          </w:tcPr>
          <w:p w:rsidR="00687524" w:rsidRPr="00C151AD" w:rsidRDefault="00C151AD">
            <w:pPr>
              <w:rPr>
                <w:sz w:val="20"/>
                <w:szCs w:val="20"/>
              </w:rPr>
            </w:pPr>
            <w:r>
              <w:rPr>
                <w:sz w:val="20"/>
                <w:szCs w:val="20"/>
              </w:rPr>
              <w:t>To discourage unnecessary restrictive planning controls.</w:t>
            </w:r>
          </w:p>
        </w:tc>
        <w:tc>
          <w:tcPr>
            <w:tcW w:w="7358" w:type="dxa"/>
          </w:tcPr>
          <w:p w:rsidR="000A49CB" w:rsidRDefault="000A49CB" w:rsidP="000A49CB">
            <w:pPr>
              <w:rPr>
                <w:sz w:val="20"/>
                <w:szCs w:val="20"/>
              </w:rPr>
            </w:pPr>
            <w:r>
              <w:rPr>
                <w:sz w:val="20"/>
                <w:szCs w:val="20"/>
              </w:rPr>
              <w:t>The planning proposal aims to allow a particular development on the subject site, in the current zone, by amending Schedule 1 of the Wentworth LEP.</w:t>
            </w:r>
          </w:p>
          <w:p w:rsidR="00371C0C" w:rsidRDefault="00371C0C" w:rsidP="000A49CB">
            <w:pPr>
              <w:rPr>
                <w:sz w:val="20"/>
                <w:szCs w:val="20"/>
              </w:rPr>
            </w:pPr>
          </w:p>
          <w:p w:rsidR="00687524" w:rsidRPr="000A49CB" w:rsidRDefault="000A49CB" w:rsidP="000A49CB">
            <w:pPr>
              <w:rPr>
                <w:sz w:val="20"/>
                <w:szCs w:val="20"/>
              </w:rPr>
            </w:pPr>
            <w:r>
              <w:rPr>
                <w:sz w:val="20"/>
                <w:szCs w:val="20"/>
              </w:rPr>
              <w:t>While the planning proposal does include draft concept plans to provide certain clarity of the permitted use/development, the planning proposal should not be assessed based on those plans. It is anticipated that at the Development Application stage, the plans may have changed considerably to comply with referral agency requirements.</w:t>
            </w:r>
          </w:p>
        </w:tc>
        <w:tc>
          <w:tcPr>
            <w:tcW w:w="1038" w:type="dxa"/>
          </w:tcPr>
          <w:p w:rsidR="00687524" w:rsidRPr="005D59A0" w:rsidRDefault="005D59A0">
            <w:pPr>
              <w:rPr>
                <w:sz w:val="20"/>
                <w:szCs w:val="20"/>
              </w:rPr>
            </w:pPr>
            <w:r>
              <w:rPr>
                <w:sz w:val="20"/>
                <w:szCs w:val="20"/>
              </w:rPr>
              <w:t>Yes</w:t>
            </w:r>
          </w:p>
        </w:tc>
      </w:tr>
      <w:tr w:rsidR="00687524" w:rsidTr="00687524">
        <w:tc>
          <w:tcPr>
            <w:tcW w:w="1668" w:type="dxa"/>
          </w:tcPr>
          <w:p w:rsidR="00687524" w:rsidRDefault="00687524"/>
        </w:tc>
        <w:tc>
          <w:tcPr>
            <w:tcW w:w="4110" w:type="dxa"/>
          </w:tcPr>
          <w:p w:rsidR="00687524" w:rsidRDefault="00687524"/>
        </w:tc>
        <w:tc>
          <w:tcPr>
            <w:tcW w:w="7358" w:type="dxa"/>
          </w:tcPr>
          <w:p w:rsidR="00687524" w:rsidRDefault="00687524"/>
        </w:tc>
        <w:tc>
          <w:tcPr>
            <w:tcW w:w="1038" w:type="dxa"/>
          </w:tcPr>
          <w:p w:rsidR="00687524" w:rsidRDefault="00687524"/>
        </w:tc>
      </w:tr>
    </w:tbl>
    <w:p w:rsidR="00687524" w:rsidRDefault="00687524"/>
    <w:sectPr w:rsidR="00687524" w:rsidSect="00687524">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57A" w:rsidRDefault="0080257A" w:rsidP="00687524">
      <w:pPr>
        <w:spacing w:after="0" w:line="240" w:lineRule="auto"/>
      </w:pPr>
      <w:r>
        <w:separator/>
      </w:r>
    </w:p>
  </w:endnote>
  <w:endnote w:type="continuationSeparator" w:id="0">
    <w:p w:rsidR="0080257A" w:rsidRDefault="0080257A" w:rsidP="006875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17E" w:rsidRDefault="00B401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1486"/>
      <w:docPartObj>
        <w:docPartGallery w:val="Page Numbers (Bottom of Page)"/>
        <w:docPartUnique/>
      </w:docPartObj>
    </w:sdtPr>
    <w:sdtEndPr>
      <w:rPr>
        <w:color w:val="7F7F7F" w:themeColor="background1" w:themeShade="7F"/>
        <w:spacing w:val="60"/>
      </w:rPr>
    </w:sdtEndPr>
    <w:sdtContent>
      <w:p w:rsidR="0080257A" w:rsidRDefault="00967F30">
        <w:pPr>
          <w:pStyle w:val="Footer"/>
          <w:pBdr>
            <w:top w:val="single" w:sz="4" w:space="1" w:color="D9D9D9" w:themeColor="background1" w:themeShade="D9"/>
          </w:pBdr>
          <w:jc w:val="right"/>
        </w:pPr>
        <w:fldSimple w:instr=" PAGE   \* MERGEFORMAT ">
          <w:r w:rsidR="007F2699">
            <w:rPr>
              <w:noProof/>
            </w:rPr>
            <w:t>1</w:t>
          </w:r>
        </w:fldSimple>
        <w:r w:rsidR="0080257A">
          <w:t xml:space="preserve"> | </w:t>
        </w:r>
        <w:r w:rsidR="0080257A">
          <w:rPr>
            <w:color w:val="7F7F7F" w:themeColor="background1" w:themeShade="7F"/>
            <w:spacing w:val="60"/>
          </w:rPr>
          <w:t>Page</w:t>
        </w:r>
      </w:p>
    </w:sdtContent>
  </w:sdt>
  <w:p w:rsidR="0080257A" w:rsidRDefault="008025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17E" w:rsidRDefault="00B401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57A" w:rsidRDefault="0080257A" w:rsidP="00687524">
      <w:pPr>
        <w:spacing w:after="0" w:line="240" w:lineRule="auto"/>
      </w:pPr>
      <w:r>
        <w:separator/>
      </w:r>
    </w:p>
  </w:footnote>
  <w:footnote w:type="continuationSeparator" w:id="0">
    <w:p w:rsidR="0080257A" w:rsidRDefault="0080257A" w:rsidP="006875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17E" w:rsidRDefault="00B401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57A" w:rsidRPr="00194E64" w:rsidRDefault="00967F30" w:rsidP="00687524">
    <w:pPr>
      <w:pStyle w:val="Header"/>
      <w:jc w:val="center"/>
      <w:rPr>
        <w:b/>
        <w:color w:val="632423" w:themeColor="accent2" w:themeShade="80"/>
        <w:sz w:val="24"/>
        <w:szCs w:val="24"/>
      </w:rPr>
    </w:pPr>
    <w:sdt>
      <w:sdtPr>
        <w:rPr>
          <w:b/>
          <w:color w:val="984806" w:themeColor="accent6" w:themeShade="80"/>
          <w:sz w:val="24"/>
          <w:szCs w:val="24"/>
        </w:rPr>
        <w:id w:val="21993584"/>
        <w:docPartObj>
          <w:docPartGallery w:val="Watermarks"/>
          <w:docPartUnique/>
        </w:docPartObj>
      </w:sdtPr>
      <w:sdtContent>
        <w:r w:rsidRPr="00967F30">
          <w:rPr>
            <w:b/>
            <w:noProof/>
            <w:color w:val="984806" w:themeColor="accent6" w:themeShade="80"/>
            <w:sz w:val="24"/>
            <w:szCs w:val="24"/>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b/>
          <w:color w:val="984806" w:themeColor="accent6" w:themeShade="80"/>
          <w:sz w:val="24"/>
          <w:szCs w:val="24"/>
        </w:rPr>
        <w:alias w:val="Title"/>
        <w:id w:val="78404852"/>
        <w:placeholder>
          <w:docPart w:val="89955FF193934EF682C2012181DCD0BC"/>
        </w:placeholder>
        <w:dataBinding w:prefixMappings="xmlns:ns0='http://schemas.openxmlformats.org/package/2006/metadata/core-properties' xmlns:ns1='http://purl.org/dc/elements/1.1/'" w:xpath="/ns0:coreProperties[1]/ns1:title[1]" w:storeItemID="{6C3C8BC8-F283-45AE-878A-BAB7291924A1}"/>
        <w:text/>
      </w:sdtPr>
      <w:sdtContent>
        <w:r w:rsidR="0080257A" w:rsidRPr="00E7411A">
          <w:rPr>
            <w:b/>
            <w:color w:val="984806" w:themeColor="accent6" w:themeShade="80"/>
            <w:sz w:val="24"/>
            <w:szCs w:val="24"/>
          </w:rPr>
          <w:t>Wentworth Shire Council</w:t>
        </w:r>
        <w:r w:rsidR="0080257A">
          <w:rPr>
            <w:b/>
            <w:color w:val="984806" w:themeColor="accent6" w:themeShade="80"/>
            <w:sz w:val="24"/>
            <w:szCs w:val="24"/>
          </w:rPr>
          <w:t xml:space="preserve"> – Planning Proposal # 9</w:t>
        </w:r>
      </w:sdtContent>
    </w:sdt>
    <w:r w:rsidR="0080257A" w:rsidRPr="00E7411A">
      <w:rPr>
        <w:rFonts w:asciiTheme="majorHAnsi" w:eastAsiaTheme="majorEastAsia" w:hAnsiTheme="majorHAnsi" w:cstheme="majorBidi"/>
        <w:b/>
        <w:color w:val="4F81BD" w:themeColor="accent1"/>
        <w:sz w:val="24"/>
        <w:szCs w:val="24"/>
      </w:rPr>
      <w:ptab w:relativeTo="margin" w:alignment="right" w:leader="none"/>
    </w:r>
    <w:sdt>
      <w:sdtPr>
        <w:rPr>
          <w:rFonts w:eastAsiaTheme="majorEastAsia" w:cstheme="majorBidi"/>
          <w:b/>
          <w:color w:val="984806" w:themeColor="accent6" w:themeShade="80"/>
          <w:sz w:val="24"/>
          <w:szCs w:val="24"/>
        </w:rPr>
        <w:alias w:val="Date"/>
        <w:id w:val="78404859"/>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0080257A" w:rsidRPr="00E7411A">
          <w:rPr>
            <w:rFonts w:eastAsiaTheme="majorEastAsia" w:cstheme="majorBidi"/>
            <w:b/>
            <w:color w:val="984806" w:themeColor="accent6" w:themeShade="80"/>
            <w:sz w:val="24"/>
            <w:szCs w:val="24"/>
          </w:rPr>
          <w:t>Consistency with SEPP Policies &amp; S117 Directions</w:t>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17E" w:rsidRDefault="00B401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6BA3"/>
    <w:multiLevelType w:val="hybridMultilevel"/>
    <w:tmpl w:val="34BECE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687524"/>
    <w:rsid w:val="00050989"/>
    <w:rsid w:val="000A49CB"/>
    <w:rsid w:val="000B1C8D"/>
    <w:rsid w:val="00137DE5"/>
    <w:rsid w:val="00192762"/>
    <w:rsid w:val="00194E64"/>
    <w:rsid w:val="001E705F"/>
    <w:rsid w:val="00331B25"/>
    <w:rsid w:val="00371C0C"/>
    <w:rsid w:val="003C5855"/>
    <w:rsid w:val="004B1294"/>
    <w:rsid w:val="005062E2"/>
    <w:rsid w:val="005A43E2"/>
    <w:rsid w:val="005D59A0"/>
    <w:rsid w:val="00632481"/>
    <w:rsid w:val="00687524"/>
    <w:rsid w:val="007F2699"/>
    <w:rsid w:val="0080257A"/>
    <w:rsid w:val="00967F30"/>
    <w:rsid w:val="0099360C"/>
    <w:rsid w:val="00A00675"/>
    <w:rsid w:val="00B4017E"/>
    <w:rsid w:val="00BD4E52"/>
    <w:rsid w:val="00C151AD"/>
    <w:rsid w:val="00CB31BC"/>
    <w:rsid w:val="00E31F28"/>
    <w:rsid w:val="00E63861"/>
    <w:rsid w:val="00E7411A"/>
    <w:rsid w:val="00E9608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2E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75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7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524"/>
  </w:style>
  <w:style w:type="paragraph" w:styleId="Footer">
    <w:name w:val="footer"/>
    <w:basedOn w:val="Normal"/>
    <w:link w:val="FooterChar"/>
    <w:uiPriority w:val="99"/>
    <w:unhideWhenUsed/>
    <w:rsid w:val="00687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524"/>
  </w:style>
  <w:style w:type="table" w:styleId="LightList-Accent6">
    <w:name w:val="Light List Accent 6"/>
    <w:basedOn w:val="TableNormal"/>
    <w:uiPriority w:val="61"/>
    <w:rsid w:val="006875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rsid w:val="006875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2">
    <w:name w:val="Light Grid Accent 2"/>
    <w:basedOn w:val="TableNormal"/>
    <w:uiPriority w:val="62"/>
    <w:rsid w:val="0068752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68752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E74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11A"/>
    <w:rPr>
      <w:rFonts w:ascii="Tahoma" w:hAnsi="Tahoma" w:cs="Tahoma"/>
      <w:sz w:val="16"/>
      <w:szCs w:val="16"/>
    </w:rPr>
  </w:style>
  <w:style w:type="paragraph" w:styleId="ListParagraph">
    <w:name w:val="List Paragraph"/>
    <w:basedOn w:val="Normal"/>
    <w:uiPriority w:val="34"/>
    <w:qFormat/>
    <w:rsid w:val="00BD4E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66D97"/>
    <w:rsid w:val="00A840B7"/>
    <w:rsid w:val="00B31A31"/>
    <w:rsid w:val="00C441A5"/>
    <w:rsid w:val="00EB589B"/>
    <w:rsid w:val="00EF7C1E"/>
    <w:rsid w:val="00F66D9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C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A89AD0EF884D48BF1D7A0F279C9D0C">
    <w:name w:val="3EA89AD0EF884D48BF1D7A0F279C9D0C"/>
    <w:rsid w:val="00F66D97"/>
  </w:style>
  <w:style w:type="paragraph" w:customStyle="1" w:styleId="8D4EBBA2C82140B6A27EFA2375EEB3AE">
    <w:name w:val="8D4EBBA2C82140B6A27EFA2375EEB3AE"/>
    <w:rsid w:val="00F66D97"/>
  </w:style>
  <w:style w:type="paragraph" w:customStyle="1" w:styleId="89955FF193934EF682C2012181DCD0BC">
    <w:name w:val="89955FF193934EF682C2012181DCD0BC"/>
    <w:rsid w:val="00F66D97"/>
  </w:style>
  <w:style w:type="paragraph" w:customStyle="1" w:styleId="20829FF7051B4084B0E2EBCE0D314FB8">
    <w:name w:val="20829FF7051B4084B0E2EBCE0D314FB8"/>
    <w:rsid w:val="00F66D9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Consistency with SEPP Policies &amp; S117 Directions</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Wentworth Shire Council – Planning Proposal # 9</vt:lpstr>
    </vt:vector>
  </TitlesOfParts>
  <Company/>
  <LinksUpToDate>false</LinksUpToDate>
  <CharactersWithSpaces>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Wentworth Shire Council – Planning Proposal # 9</dc:title>
  <dc:creator>Michele Bos</dc:creator>
  <cp:lastModifiedBy>Michele Bos</cp:lastModifiedBy>
  <cp:revision>10</cp:revision>
  <dcterms:created xsi:type="dcterms:W3CDTF">2015-07-23T04:47:00Z</dcterms:created>
  <dcterms:modified xsi:type="dcterms:W3CDTF">2015-08-18T07:39:00Z</dcterms:modified>
</cp:coreProperties>
</file>